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540" w:rsidRPr="00D86540" w:rsidRDefault="00D86540" w:rsidP="00D8654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8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aps/>
          <w:color w:val="000080"/>
          <w:sz w:val="24"/>
          <w:szCs w:val="24"/>
          <w:lang w:eastAsia="ru-RU"/>
        </w:rPr>
        <w:t>ЎЗБЕКИСТОН РЕСПУБЛИКАСИ МАРКАЗИЙ САЙЛОВ КОМИССИЯСИНИНГ</w:t>
      </w:r>
    </w:p>
    <w:p w:rsidR="00D86540" w:rsidRPr="00D86540" w:rsidRDefault="00D86540" w:rsidP="00D8654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8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aps/>
          <w:color w:val="000080"/>
          <w:sz w:val="24"/>
          <w:szCs w:val="24"/>
          <w:lang w:eastAsia="ru-RU"/>
        </w:rPr>
        <w:t>ҚАРОРИ</w:t>
      </w:r>
    </w:p>
    <w:p w:rsidR="00D86540" w:rsidRPr="00D86540" w:rsidRDefault="00D86540" w:rsidP="00D8654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8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b/>
          <w:bCs/>
          <w:caps/>
          <w:color w:val="000080"/>
          <w:sz w:val="24"/>
          <w:szCs w:val="24"/>
          <w:lang w:eastAsia="ru-RU"/>
        </w:rPr>
        <w:t>СИЁСИЙ ПАРТИЯНИНГ ВАКОЛАТЛИ ВАКИЛИ ТЎҒРИСИДАГИ НИЗОМНИ ТАСДИҚЛАШ ҲАҚИДА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Ўзбекистон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кодексининг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4" w:anchor="4387650" w:history="1">
        <w:r w:rsidRPr="00D86540">
          <w:rPr>
            <w:rFonts w:ascii="Times New Roman" w:eastAsia="Times New Roman" w:hAnsi="Times New Roman" w:cs="Times New Roman"/>
            <w:color w:val="008080"/>
            <w:sz w:val="24"/>
            <w:szCs w:val="24"/>
            <w:lang w:eastAsia="ru-RU"/>
          </w:rPr>
          <w:t>14 </w:t>
        </w:r>
        <w:proofErr w:type="spellStart"/>
      </w:hyperlink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" w:anchor="4387697" w:history="1">
        <w:r w:rsidRPr="00D86540">
          <w:rPr>
            <w:rFonts w:ascii="Times New Roman" w:eastAsia="Times New Roman" w:hAnsi="Times New Roman" w:cs="Times New Roman"/>
            <w:color w:val="008080"/>
            <w:sz w:val="24"/>
            <w:szCs w:val="24"/>
            <w:lang w:eastAsia="ru-RU"/>
          </w:rPr>
          <w:t>16-моддаларига </w:t>
        </w:r>
        <w:proofErr w:type="spellStart"/>
      </w:hyperlink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мувофиқ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Ўзбекистон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Марказий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қарор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қилади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партиянинг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тўғрисидаги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низом </w:t>
      </w:r>
      <w:hyperlink r:id="rId6" w:history="1">
        <w:r w:rsidRPr="00D86540">
          <w:rPr>
            <w:rFonts w:ascii="Times New Roman" w:eastAsia="Times New Roman" w:hAnsi="Times New Roman" w:cs="Times New Roman"/>
            <w:color w:val="008080"/>
            <w:sz w:val="24"/>
            <w:szCs w:val="24"/>
            <w:lang w:eastAsia="ru-RU"/>
          </w:rPr>
          <w:t>1-иловага </w:t>
        </w:r>
        <w:proofErr w:type="spellStart"/>
      </w:hyperlink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мувофиқ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тасдиқлансин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0" w:name="_GoBack"/>
      <w:bookmarkEnd w:id="0"/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Ўзбекистон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Марказий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айрим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қарорлари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7" w:history="1">
        <w:r w:rsidRPr="00D86540">
          <w:rPr>
            <w:rFonts w:ascii="Times New Roman" w:eastAsia="Times New Roman" w:hAnsi="Times New Roman" w:cs="Times New Roman"/>
            <w:color w:val="008080"/>
            <w:sz w:val="24"/>
            <w:szCs w:val="24"/>
            <w:lang w:eastAsia="ru-RU"/>
          </w:rPr>
          <w:t>2-иловага </w:t>
        </w:r>
        <w:proofErr w:type="spellStart"/>
      </w:hyperlink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мувофиқ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ўз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кучини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йўқотган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деб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ҳисоблансин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Ушбу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қарор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Ўзбекистон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Марказий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расмий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веб-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сайтида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эълон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қилинсин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Мазкур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қарорнинг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ижросини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назорат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қилиш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Ўзбекистон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Марказий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раисининг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ўринбосари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Истамов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зиммасига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юклансин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Раис М. АБДУСАЛОМОВ</w:t>
      </w:r>
    </w:p>
    <w:p w:rsidR="00D86540" w:rsidRPr="00D86540" w:rsidRDefault="00D86540" w:rsidP="00D865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D86540">
        <w:rPr>
          <w:rFonts w:ascii="Times New Roman" w:eastAsia="Times New Roman" w:hAnsi="Times New Roman" w:cs="Times New Roman"/>
          <w:color w:val="000000"/>
          <w:lang w:eastAsia="ru-RU"/>
        </w:rPr>
        <w:t>Тошкент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lang w:eastAsia="ru-RU"/>
        </w:rPr>
        <w:t xml:space="preserve"> ш.,</w:t>
      </w:r>
    </w:p>
    <w:p w:rsidR="00D86540" w:rsidRPr="00D86540" w:rsidRDefault="00D86540" w:rsidP="00D865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lang w:eastAsia="ru-RU"/>
        </w:rPr>
        <w:t xml:space="preserve">2019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lang w:eastAsia="ru-RU"/>
        </w:rPr>
        <w:t>йил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lang w:eastAsia="ru-RU"/>
        </w:rPr>
        <w:t xml:space="preserve"> 11 сентябрь,</w:t>
      </w:r>
    </w:p>
    <w:p w:rsidR="00D86540" w:rsidRPr="00D86540" w:rsidRDefault="00D86540" w:rsidP="00D865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lang w:eastAsia="ru-RU"/>
        </w:rPr>
        <w:t>935-сон</w:t>
      </w:r>
    </w:p>
    <w:p w:rsidR="00D86540" w:rsidRPr="00D86540" w:rsidRDefault="00D86540" w:rsidP="00D86540">
      <w:pPr>
        <w:spacing w:line="240" w:lineRule="auto"/>
        <w:jc w:val="center"/>
        <w:rPr>
          <w:rFonts w:ascii="Times New Roman" w:eastAsia="Times New Roman" w:hAnsi="Times New Roman" w:cs="Times New Roman"/>
          <w:color w:val="000080"/>
          <w:lang w:eastAsia="ru-RU"/>
        </w:rPr>
      </w:pP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Ўзбекистон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Республикаси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Марказий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комиссиясининг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2019 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йил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11 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сентябрдаги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935-сон 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fldChar w:fldCharType="begin"/>
      </w:r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instrText xml:space="preserve"> HYPERLINK "javascript:scrollText()" </w:instrText>
      </w:r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fldChar w:fldCharType="separate"/>
      </w:r>
      <w:r w:rsidRPr="00D86540">
        <w:rPr>
          <w:rFonts w:ascii="Times New Roman" w:eastAsia="Times New Roman" w:hAnsi="Times New Roman" w:cs="Times New Roman"/>
          <w:color w:val="008080"/>
          <w:lang w:eastAsia="ru-RU"/>
        </w:rPr>
        <w:t>қарорига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fldChar w:fldCharType="end"/>
      </w:r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br/>
        <w:t>1-ИЛОВА</w:t>
      </w:r>
    </w:p>
    <w:p w:rsidR="00D86540" w:rsidRPr="00D86540" w:rsidRDefault="00D86540" w:rsidP="00D8654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партиянинг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вакили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тўғрисида</w:t>
      </w:r>
      <w:proofErr w:type="spellEnd"/>
    </w:p>
    <w:p w:rsidR="00D86540" w:rsidRPr="00D86540" w:rsidRDefault="00D86540" w:rsidP="00D8654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8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aps/>
          <w:color w:val="000080"/>
          <w:sz w:val="24"/>
          <w:szCs w:val="24"/>
          <w:lang w:eastAsia="ru-RU"/>
        </w:rPr>
        <w:t>НИЗОМ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Ушбу Низом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Ўзбекистон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кодексининг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anchor="4388434" w:history="1">
        <w:r w:rsidRPr="00D86540">
          <w:rPr>
            <w:rFonts w:ascii="Times New Roman" w:eastAsia="Times New Roman" w:hAnsi="Times New Roman" w:cs="Times New Roman"/>
            <w:color w:val="008080"/>
            <w:sz w:val="24"/>
            <w:szCs w:val="24"/>
            <w:lang w:eastAsia="ru-RU"/>
          </w:rPr>
          <w:t>34-моддасига </w:t>
        </w:r>
        <w:proofErr w:type="spellStart"/>
      </w:hyperlink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мувофиқ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ишлаб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чиқилган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бўлиб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партиялар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томонидан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тайинлаш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рўйхатга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олиш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тартибини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ҳуқуқ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мажбуриятларини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белгилайди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I.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Умумий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қоидалар</w:t>
      </w:r>
      <w:proofErr w:type="spellEnd"/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партия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мажлисларида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ҳужжатларни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топширишда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имзо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варақалари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тўғри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тўлдирилганлигини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текширишда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участкасида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овозларни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санаб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чиқишда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иштирок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этиш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учун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тайинлашга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ҳақли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партия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аъзоси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ёки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тарафдори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ёхуд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партияга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хайрихоҳ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бўлган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Ўзбекистон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Республикасининг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ёшга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тўлган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фуқароси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партиянинг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бўлиши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мумкин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II.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вакил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тайинлаш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ва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уни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рўйхатга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олиш</w:t>
      </w:r>
      <w:proofErr w:type="spellEnd"/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Марказий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мажлисларида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ҳужжатларни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топширишда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имзо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варақалари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тўғри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тўлдирилганлигини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текширишда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иштирок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этиш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учун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партия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юқори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раҳбари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кампанияси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бошланганлиги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расман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эълон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қилинган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кундан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бошлаб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беш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кунлик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муддатда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ўз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вакилини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тайинлайди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ҳамда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рўйхатдан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ўтказиш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учун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Марказий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тегишли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ҳужжатларни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мурожаатнома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номзоднинг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паспорт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нусхаси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 дона 3 х 4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ҳажмдаги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фотосурати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тақдим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этади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Марказий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партия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томонидан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тавсия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этилган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номзодига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тегишли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хужжатларни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кўриб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чиқиб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кунлик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муддатда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рўйхатга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олади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мазкур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Низомнинг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9" w:history="1">
        <w:r w:rsidRPr="00D86540">
          <w:rPr>
            <w:rFonts w:ascii="Times New Roman" w:eastAsia="Times New Roman" w:hAnsi="Times New Roman" w:cs="Times New Roman"/>
            <w:color w:val="008080"/>
            <w:sz w:val="24"/>
            <w:szCs w:val="24"/>
            <w:lang w:eastAsia="ru-RU"/>
          </w:rPr>
          <w:t>1-иловасида </w:t>
        </w:r>
        <w:proofErr w:type="spellStart"/>
      </w:hyperlink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белгиланган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шаклда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гувоҳнома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(мандат)ни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беради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Ўзбекистон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Президентлигига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номзодлар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Ўзбекистон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Мажлиси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Қонунчилик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палатаси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Халқ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депутатлари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вилоят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туман,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шаҳар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кенгашлари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депутатлигига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номзодлар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кўрсатган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партиянинг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ҳудудий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органлари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участкасида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овозларни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санаб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чиқишда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иштирок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этиш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учун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участкалари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тузилган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кундан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эътиборан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ўз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вакилларини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тайинлайди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партиянинг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ҳудудий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раҳбари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камида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беш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кун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қолганида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ариза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билан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тегишли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партиянинг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вакиллари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рўйхатини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исми-фамилияси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лавозими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яшаш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манзили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телефон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рақами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кўрсатилган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ҳолда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тақдим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этади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Бунда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ариза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Ўзбекистон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сайловида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Президент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сайловини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ўтказувчи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Ўзбекистон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Мажлиси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Қонунчилик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палатаси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депутатлари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сайловида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Мажлис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Қонунчилик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палатаси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депутатлари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сайловини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ўтказувчи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маҳаллий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кенгашларга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ўтказиш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бўйича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Халқ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депутатлари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вилоят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туман,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шаҳар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кенгашига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ўтказувчи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Ўзбекистон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Мажлиси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Қонунчилик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палатаси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ҳамда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Халқ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депутатлари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вилоят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туман (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шаҳар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кенгашлари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депутатлигига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сайловини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бир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вақтда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ўтказилганида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Мажлис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Қонунчилик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палатаси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депутатлари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ўтказувчи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тақдим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этилади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Аризага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вакилликка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номзоднинг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паспорт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нусхаси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 дона 3 х 4 см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ҳажмдаги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фотосурати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илова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қилинади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Тегишли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партиянинг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вакиллари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рўйхати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келиб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тушган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вақтдан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бошлаб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беш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кун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ичида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вакилларни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рўйхатга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олади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уларга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мазкур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Низомнинг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10" w:history="1">
        <w:r w:rsidRPr="00D86540">
          <w:rPr>
            <w:rFonts w:ascii="Times New Roman" w:eastAsia="Times New Roman" w:hAnsi="Times New Roman" w:cs="Times New Roman"/>
            <w:color w:val="008080"/>
            <w:sz w:val="24"/>
            <w:szCs w:val="24"/>
            <w:lang w:eastAsia="ru-RU"/>
          </w:rPr>
          <w:t>2-иловасида </w:t>
        </w:r>
        <w:proofErr w:type="spellStart"/>
      </w:hyperlink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белгиланган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шаклда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гувоҳнома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(мандат)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лар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беради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Гувоҳнома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(мандат)да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партияни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бошқа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партиядан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фарқлаш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учун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алоҳида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белгилар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(ранги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ёки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бошқа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акс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эттирилиши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мумкин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Қуйидаги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ҳолларда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гувоҳнома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(мандат)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бериш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этилиши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мумкин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номзод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ёшга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тўлмаган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бўлса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ёки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Ўзбекистон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фуқароси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бўлмаса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беш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кундан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муддат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қолганда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мурожаат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этилса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тегишли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округи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бўйича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партиядан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номзод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рўйхатга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олинмаган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бўлса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участкасида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овозларни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санаб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чиқишда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иштирок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этадиган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вакилларга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нисбатан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қўлланилади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мазкур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Низомнинг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11" w:history="1">
        <w:r w:rsidRPr="00D86540">
          <w:rPr>
            <w:rFonts w:ascii="Times New Roman" w:eastAsia="Times New Roman" w:hAnsi="Times New Roman" w:cs="Times New Roman"/>
            <w:color w:val="008080"/>
            <w:sz w:val="24"/>
            <w:szCs w:val="24"/>
            <w:lang w:eastAsia="ru-RU"/>
          </w:rPr>
          <w:t>3 </w:t>
        </w:r>
        <w:proofErr w:type="spellStart"/>
      </w:hyperlink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12" w:history="1">
        <w:r w:rsidRPr="00D86540">
          <w:rPr>
            <w:rFonts w:ascii="Times New Roman" w:eastAsia="Times New Roman" w:hAnsi="Times New Roman" w:cs="Times New Roman"/>
            <w:color w:val="008080"/>
            <w:sz w:val="24"/>
            <w:szCs w:val="24"/>
            <w:lang w:eastAsia="ru-RU"/>
          </w:rPr>
          <w:t>6-бандларида </w:t>
        </w:r>
        <w:proofErr w:type="spellStart"/>
      </w:hyperlink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кўрсатилган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ҳужжатлар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тўлиқ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тақдим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этилмаса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партия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қадар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истаган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вақтда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тегишли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ёзма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равишда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хабардор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қилган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ҳолда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ваколатидан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маҳрум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қилиши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мумкин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Бундай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ҳолларда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рўйхатдан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чиқаради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берилган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гувоҳнома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(мандат)ни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бекор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қилади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III.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вакилнинг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ҳуқуқ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ва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мажбуриятлари</w:t>
      </w:r>
      <w:proofErr w:type="spellEnd"/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партиянинг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мажлисларида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комиссияларига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ҳужжатларни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шу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жумладан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тўпланган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имзо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варақларини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топширишда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имзо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варақалари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тўғри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тўлдирилганлигини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текширишда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участкасида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овозларни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санаб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чиқишда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иштирок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этишга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участка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баённомаси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билан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танишиш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шу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жумладан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участка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баённомасининг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тасдиқланган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кўчирма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нусхасини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олишга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ҳақли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партиянинг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такрорий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овоз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бериш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пайтида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ҳам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участкасида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овозларни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санаб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чиқишда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ҳозир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бўлиши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мумкин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партиянинг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участка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фаолиятига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шу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жумладан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қутиларини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муҳрлашга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очишга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овозларни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санаб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чиқишга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аралашиши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мумкин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эмас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12.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партияларнинг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вакиллари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шахсини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тасдиқловчи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ҳужжатни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партия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томонидан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берилган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ҳужжатни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тегишли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гувоҳномаси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мандати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)ни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ўз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ёнида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олиб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юриши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шарт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IV.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Якуний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қоидалар</w:t>
      </w:r>
      <w:proofErr w:type="spellEnd"/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партиянинг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участка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хатти-ҳаракати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қарори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устидан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қонунда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белгиланган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тартибда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шу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ёки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юқори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ёхуд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шикоят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қилиши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мумкин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Cиёсий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партия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вакилининг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ваколат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муддати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якунлари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тўғрисидаги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ахборот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матбуотда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эълон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қилинган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кундан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эътиборан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тугаган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ҳисобланади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540" w:rsidRPr="00D86540" w:rsidRDefault="00D86540" w:rsidP="00D86540">
      <w:pPr>
        <w:spacing w:line="240" w:lineRule="auto"/>
        <w:jc w:val="center"/>
        <w:rPr>
          <w:rFonts w:ascii="Times New Roman" w:eastAsia="Times New Roman" w:hAnsi="Times New Roman" w:cs="Times New Roman"/>
          <w:color w:val="000080"/>
          <w:lang w:eastAsia="ru-RU"/>
        </w:rPr>
      </w:pP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партиянинг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вакили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тўғрисидаги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 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fldChar w:fldCharType="begin"/>
      </w:r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instrText xml:space="preserve"> HYPERLINK "javascript:scrollText(4545708)" </w:instrText>
      </w:r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fldChar w:fldCharType="separate"/>
      </w:r>
      <w:r w:rsidRPr="00D86540">
        <w:rPr>
          <w:rFonts w:ascii="Times New Roman" w:eastAsia="Times New Roman" w:hAnsi="Times New Roman" w:cs="Times New Roman"/>
          <w:color w:val="008080"/>
          <w:lang w:eastAsia="ru-RU"/>
        </w:rPr>
        <w:t>низомга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fldChar w:fldCharType="end"/>
      </w:r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br/>
        <w:t>1-ИЛОВА</w:t>
      </w:r>
    </w:p>
    <w:p w:rsidR="00D86540" w:rsidRPr="00D86540" w:rsidRDefault="00D86540" w:rsidP="00D8654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СИЁСИЙ ПАРТИЯ ВАКОЛАТЛИ ВАКИЛИНИНГ</w:t>
      </w:r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br/>
        <w:t>ГУВОҲНОМА (МАНДАТ) НАМУНАСИ</w:t>
      </w:r>
    </w:p>
    <w:p w:rsidR="00D86540" w:rsidRPr="00D86540" w:rsidRDefault="00D86540" w:rsidP="00D86540">
      <w:pPr>
        <w:spacing w:after="6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2" name="Прямоугольник 2" descr="https://lex.uz/files/45470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FEDC26" id="Прямоугольник 2" o:spid="_x0000_s1026" alt="https://lex.uz/files/4547036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" filled="f" stroked="f">
                <o:lock v:ext="edit" aspectratio="t"/>
                <w10:anchorlock/>
              </v:rect>
            </w:pict>
          </mc:Fallback>
        </mc:AlternateConten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</w:pPr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 xml:space="preserve">140 х 100 мм. </w:t>
      </w:r>
      <w:proofErr w:type="spellStart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>ўлчамдаги</w:t>
      </w:r>
      <w:proofErr w:type="spellEnd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>гувоҳнома</w:t>
      </w:r>
      <w:proofErr w:type="spellEnd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>бир</w:t>
      </w:r>
      <w:proofErr w:type="spellEnd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>тарафли</w:t>
      </w:r>
      <w:proofErr w:type="spellEnd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>ўзбек</w:t>
      </w:r>
      <w:proofErr w:type="spellEnd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>тилида</w:t>
      </w:r>
      <w:proofErr w:type="spellEnd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>намунавий</w:t>
      </w:r>
      <w:proofErr w:type="spellEnd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>бланкда</w:t>
      </w:r>
      <w:proofErr w:type="spellEnd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>расмийлаштирилади</w:t>
      </w:r>
      <w:proofErr w:type="spellEnd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>.</w:t>
      </w:r>
    </w:p>
    <w:p w:rsidR="00D86540" w:rsidRPr="00D86540" w:rsidRDefault="00D86540" w:rsidP="00D86540">
      <w:pPr>
        <w:spacing w:line="240" w:lineRule="auto"/>
        <w:jc w:val="center"/>
        <w:rPr>
          <w:rFonts w:ascii="Times New Roman" w:eastAsia="Times New Roman" w:hAnsi="Times New Roman" w:cs="Times New Roman"/>
          <w:color w:val="000080"/>
          <w:lang w:eastAsia="ru-RU"/>
        </w:rPr>
      </w:pP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Сиёсий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партиянинг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ваколатли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вакили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тўғрисидаги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 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fldChar w:fldCharType="begin"/>
      </w:r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instrText xml:space="preserve"> HYPERLINK "javascript:scrollText(4545708)" </w:instrText>
      </w:r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fldChar w:fldCharType="separate"/>
      </w:r>
      <w:r w:rsidRPr="00D86540">
        <w:rPr>
          <w:rFonts w:ascii="Times New Roman" w:eastAsia="Times New Roman" w:hAnsi="Times New Roman" w:cs="Times New Roman"/>
          <w:color w:val="008080"/>
          <w:lang w:eastAsia="ru-RU"/>
        </w:rPr>
        <w:t>низомга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fldChar w:fldCharType="end"/>
      </w:r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br/>
        <w:t>2-ИЛОВА</w:t>
      </w:r>
    </w:p>
    <w:p w:rsidR="00D86540" w:rsidRPr="00D86540" w:rsidRDefault="00D86540" w:rsidP="00D8654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СИЁСИЙ ПАРТИЯ ВАКОЛАТЛИ ВАКИЛИНИНГ</w:t>
      </w:r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br/>
        <w:t>ГУВОҲНОМА (МАНДАТ) НАМУНАСИ</w:t>
      </w:r>
    </w:p>
    <w:p w:rsidR="00D86540" w:rsidRPr="00D86540" w:rsidRDefault="00D86540" w:rsidP="00D86540">
      <w:pPr>
        <w:spacing w:after="6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noProof/>
          <w:color w:val="000080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1" name="Прямоугольник 1" descr="https://lex.uz/files/45470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05A568" id="Прямоугольник 1" o:spid="_x0000_s1026" alt="https://lex.uz/files/4547020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</w:pPr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 xml:space="preserve">140 х 100 мм. </w:t>
      </w:r>
      <w:proofErr w:type="spellStart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>ўлчамдаги</w:t>
      </w:r>
      <w:proofErr w:type="spellEnd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>гувоҳнома</w:t>
      </w:r>
      <w:proofErr w:type="spellEnd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>бир</w:t>
      </w:r>
      <w:proofErr w:type="spellEnd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>тарафли</w:t>
      </w:r>
      <w:proofErr w:type="spellEnd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>ўзбек</w:t>
      </w:r>
      <w:proofErr w:type="spellEnd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>тилида</w:t>
      </w:r>
      <w:proofErr w:type="spellEnd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>намунавий</w:t>
      </w:r>
      <w:proofErr w:type="spellEnd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>бланкда</w:t>
      </w:r>
      <w:proofErr w:type="spellEnd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>расмийлаштирилади</w:t>
      </w:r>
      <w:proofErr w:type="spellEnd"/>
      <w:r w:rsidRPr="00D86540">
        <w:rPr>
          <w:rFonts w:ascii="Times New Roman" w:eastAsia="Times New Roman" w:hAnsi="Times New Roman" w:cs="Times New Roman"/>
          <w:color w:val="339966"/>
          <w:sz w:val="20"/>
          <w:szCs w:val="20"/>
          <w:lang w:eastAsia="ru-RU"/>
        </w:rPr>
        <w:t>.</w:t>
      </w:r>
    </w:p>
    <w:p w:rsidR="00D86540" w:rsidRPr="00D86540" w:rsidRDefault="00D86540" w:rsidP="00D86540">
      <w:pPr>
        <w:spacing w:line="240" w:lineRule="auto"/>
        <w:jc w:val="center"/>
        <w:rPr>
          <w:rFonts w:ascii="Times New Roman" w:eastAsia="Times New Roman" w:hAnsi="Times New Roman" w:cs="Times New Roman"/>
          <w:color w:val="000080"/>
          <w:lang w:eastAsia="ru-RU"/>
        </w:rPr>
      </w:pP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Ўзбекистон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Республикаси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Марказий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комиссиясининг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2019 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йил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11 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>сентябрдаги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t xml:space="preserve"> 935-сонли </w:t>
      </w:r>
      <w:proofErr w:type="spellStart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fldChar w:fldCharType="begin"/>
      </w:r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instrText xml:space="preserve"> HYPERLINK "javascript:scrollText()" </w:instrText>
      </w:r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fldChar w:fldCharType="separate"/>
      </w:r>
      <w:r w:rsidRPr="00D86540">
        <w:rPr>
          <w:rFonts w:ascii="Times New Roman" w:eastAsia="Times New Roman" w:hAnsi="Times New Roman" w:cs="Times New Roman"/>
          <w:color w:val="008080"/>
          <w:lang w:eastAsia="ru-RU"/>
        </w:rPr>
        <w:t>қарорига</w:t>
      </w:r>
      <w:proofErr w:type="spellEnd"/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fldChar w:fldCharType="end"/>
      </w:r>
      <w:r w:rsidRPr="00D86540">
        <w:rPr>
          <w:rFonts w:ascii="Times New Roman" w:eastAsia="Times New Roman" w:hAnsi="Times New Roman" w:cs="Times New Roman"/>
          <w:color w:val="000080"/>
          <w:lang w:eastAsia="ru-RU"/>
        </w:rPr>
        <w:br/>
        <w:t>2-ИЛОВА</w:t>
      </w:r>
    </w:p>
    <w:p w:rsidR="00D86540" w:rsidRPr="00D86540" w:rsidRDefault="00D86540" w:rsidP="00D8654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Ўзбекистон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Республикаси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Марказий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комиссиясининг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ўз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кучини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йўқотган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деб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топилаётган</w:t>
      </w:r>
      <w:proofErr w:type="spellEnd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қарорлари</w:t>
      </w:r>
      <w:proofErr w:type="spellEnd"/>
    </w:p>
    <w:p w:rsidR="00D86540" w:rsidRPr="00D86540" w:rsidRDefault="00D86540" w:rsidP="00D8654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8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aps/>
          <w:color w:val="000080"/>
          <w:sz w:val="24"/>
          <w:szCs w:val="24"/>
          <w:lang w:eastAsia="ru-RU"/>
        </w:rPr>
        <w:t>РЎЙХАТИ</w:t>
      </w:r>
    </w:p>
    <w:p w:rsidR="00D86540" w:rsidRPr="00D86540" w:rsidRDefault="00D86540" w:rsidP="00D865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Ўзбекистон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Марказий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Марказий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Ўзбекистон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Мажлиси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сайловини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ўтказиш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билан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боғлиқ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норматив-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ҳуқуқий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ҳужжатлари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тўғрисида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2009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йил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сентябрдаги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417-сон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қарори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2-банди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2-иловаси.</w:t>
      </w:r>
    </w:p>
    <w:p w:rsidR="00D86540" w:rsidRPr="00D86540" w:rsidRDefault="00D86540" w:rsidP="00D86540">
      <w:pPr>
        <w:shd w:val="clear" w:color="auto" w:fill="E8E8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Ўзбекистон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Марказий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комиссиясининг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Ўзбекистон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Мажлисига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сайлов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ўтказиш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билан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боғлиқ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норматив-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ҳуқуқий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ҳужжатларни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тасдиқлаш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тўғрисида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2014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йил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сентябрдаги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618-сон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қарори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1-бандининг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ўн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биринчи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хатбошиси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spellEnd"/>
      <w:r w:rsidRPr="00D86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10-иловаси.</w:t>
      </w:r>
    </w:p>
    <w:p w:rsidR="009D184C" w:rsidRDefault="009D184C"/>
    <w:sectPr w:rsidR="009D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540"/>
    <w:rsid w:val="009D184C"/>
    <w:rsid w:val="00D8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F67219-97A9-40DC-A271-076313E45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65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6322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3898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9594">
          <w:marLeft w:val="0"/>
          <w:marRight w:val="88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5939">
          <w:marLeft w:val="0"/>
          <w:marRight w:val="88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6386">
          <w:marLeft w:val="0"/>
          <w:marRight w:val="88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7287">
          <w:marLeft w:val="8346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43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5541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2425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3236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9153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5854">
          <w:marLeft w:val="8346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5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913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6029">
          <w:marLeft w:val="8346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60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205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6862">
          <w:marLeft w:val="8346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7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x.uz/docs/4386848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javascript:scrollText(4545865)" TargetMode="External"/><Relationship Id="rId12" Type="http://schemas.openxmlformats.org/officeDocument/2006/relationships/hyperlink" Target="javascript:scrollText(4545727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scrollText(4545706)" TargetMode="External"/><Relationship Id="rId11" Type="http://schemas.openxmlformats.org/officeDocument/2006/relationships/hyperlink" Target="javascript:scrollText(4545718)" TargetMode="External"/><Relationship Id="rId5" Type="http://schemas.openxmlformats.org/officeDocument/2006/relationships/hyperlink" Target="https://lex.uz/docs/4386848" TargetMode="External"/><Relationship Id="rId10" Type="http://schemas.openxmlformats.org/officeDocument/2006/relationships/hyperlink" Target="javascript:scrollText(4545859)" TargetMode="External"/><Relationship Id="rId4" Type="http://schemas.openxmlformats.org/officeDocument/2006/relationships/hyperlink" Target="https://lex.uz/docs/4386848" TargetMode="External"/><Relationship Id="rId9" Type="http://schemas.openxmlformats.org/officeDocument/2006/relationships/hyperlink" Target="javascript:scrollText(4545852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1217</Words>
  <Characters>6941</Characters>
  <Application>Microsoft Office Word</Application>
  <DocSecurity>0</DocSecurity>
  <Lines>57</Lines>
  <Paragraphs>16</Paragraphs>
  <ScaleCrop>false</ScaleCrop>
  <Company/>
  <LinksUpToDate>false</LinksUpToDate>
  <CharactersWithSpaces>8142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HP_110</dc:creator>
  <cp:keywords/>
  <dc:description/>
  <cp:lastModifiedBy>HP_110</cp:lastModifiedBy>
  <cp:revision>1</cp:revision>
  <dcterms:created xsi:type="dcterms:W3CDTF">2021-02-19T14:29:00Z</dcterms:created>
  <dcterms:modified xsi:type="dcterms:W3CDTF">2021-02-19T14:32:00Z</dcterms:modified>
</cp:coreProperties>
</file>